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5EEA9" w14:textId="48F936FA" w:rsidR="00047168" w:rsidRPr="00F27368" w:rsidRDefault="00047168" w:rsidP="00747592">
      <w:pPr>
        <w:pStyle w:val="berschrift2"/>
        <w:spacing w:before="0" w:after="240"/>
        <w:jc w:val="both"/>
        <w:rPr>
          <w:color w:val="0070C0"/>
        </w:rPr>
      </w:pPr>
      <w:r w:rsidRPr="00F27368">
        <w:rPr>
          <w:color w:val="0070C0"/>
        </w:rPr>
        <w:t xml:space="preserve">Umweltaspekte im </w:t>
      </w:r>
      <w:r w:rsidR="00BE536D">
        <w:rPr>
          <w:color w:val="0070C0"/>
        </w:rPr>
        <w:t>Sinne</w:t>
      </w:r>
      <w:r w:rsidRPr="00F27368">
        <w:rPr>
          <w:color w:val="0070C0"/>
        </w:rPr>
        <w:t xml:space="preserve"> der MSCA Green Charta </w:t>
      </w:r>
    </w:p>
    <w:p w14:paraId="024D205E" w14:textId="3BDC9DA3" w:rsidR="00047168" w:rsidRPr="00047168" w:rsidRDefault="00047168" w:rsidP="00747592">
      <w:pPr>
        <w:numPr>
          <w:ilvl w:val="0"/>
          <w:numId w:val="22"/>
        </w:numPr>
        <w:jc w:val="both"/>
        <w:rPr>
          <w:b/>
          <w:bCs/>
        </w:rPr>
      </w:pPr>
      <w:proofErr w:type="spellStart"/>
      <w:r w:rsidRPr="00047168">
        <w:rPr>
          <w:b/>
          <w:bCs/>
          <w:lang w:val="en-GB"/>
        </w:rPr>
        <w:t>Forschungsinhalt</w:t>
      </w:r>
      <w:r w:rsidR="00BE536D">
        <w:rPr>
          <w:b/>
          <w:bCs/>
          <w:lang w:val="en-GB"/>
        </w:rPr>
        <w:t>e</w:t>
      </w:r>
      <w:proofErr w:type="spellEnd"/>
      <w:r w:rsidR="00BE536D">
        <w:rPr>
          <w:b/>
          <w:bCs/>
          <w:lang w:val="en-GB"/>
        </w:rPr>
        <w:t xml:space="preserve"> und </w:t>
      </w:r>
      <w:proofErr w:type="spellStart"/>
      <w:r w:rsidR="00BE536D">
        <w:rPr>
          <w:b/>
          <w:bCs/>
          <w:lang w:val="en-GB"/>
        </w:rPr>
        <w:t>deren</w:t>
      </w:r>
      <w:proofErr w:type="spellEnd"/>
      <w:r w:rsidR="00BE536D">
        <w:rPr>
          <w:b/>
          <w:bCs/>
          <w:lang w:val="en-GB"/>
        </w:rPr>
        <w:t xml:space="preserve"> </w:t>
      </w:r>
      <w:proofErr w:type="spellStart"/>
      <w:r w:rsidR="00BE536D">
        <w:rPr>
          <w:b/>
          <w:bCs/>
          <w:lang w:val="en-GB"/>
        </w:rPr>
        <w:t>Auswirkungen</w:t>
      </w:r>
      <w:proofErr w:type="spellEnd"/>
    </w:p>
    <w:p w14:paraId="7E4BA48F" w14:textId="357F3DB3" w:rsidR="00047168" w:rsidRDefault="00B32109" w:rsidP="00747592">
      <w:pPr>
        <w:numPr>
          <w:ilvl w:val="0"/>
          <w:numId w:val="25"/>
        </w:numPr>
        <w:jc w:val="both"/>
        <w:rPr>
          <w:i/>
          <w:iCs/>
          <w:color w:val="0070C0"/>
        </w:rPr>
      </w:pPr>
      <w:r w:rsidRPr="00F27368">
        <w:rPr>
          <w:i/>
          <w:iCs/>
          <w:color w:val="0070C0"/>
        </w:rPr>
        <w:t xml:space="preserve">entsprechend den Themen Ihres </w:t>
      </w:r>
      <w:r w:rsidR="00F27368" w:rsidRPr="00F27368">
        <w:rPr>
          <w:i/>
          <w:iCs/>
          <w:color w:val="0070C0"/>
        </w:rPr>
        <w:t>Projektantra</w:t>
      </w:r>
      <w:r w:rsidRPr="00F27368">
        <w:rPr>
          <w:i/>
          <w:iCs/>
          <w:color w:val="0070C0"/>
        </w:rPr>
        <w:t xml:space="preserve">gs </w:t>
      </w:r>
    </w:p>
    <w:p w14:paraId="6F5BB45E" w14:textId="2290A926" w:rsidR="00BE536D" w:rsidRPr="00F27368" w:rsidRDefault="00BE536D" w:rsidP="00747592">
      <w:pPr>
        <w:numPr>
          <w:ilvl w:val="0"/>
          <w:numId w:val="25"/>
        </w:numPr>
        <w:jc w:val="both"/>
        <w:rPr>
          <w:i/>
          <w:iCs/>
          <w:color w:val="0070C0"/>
        </w:rPr>
      </w:pPr>
    </w:p>
    <w:p w14:paraId="6A1E9620" w14:textId="4BAC9417" w:rsidR="00047168" w:rsidRPr="00F27368" w:rsidRDefault="00BE536D" w:rsidP="00747592">
      <w:pPr>
        <w:numPr>
          <w:ilvl w:val="0"/>
          <w:numId w:val="22"/>
        </w:numPr>
        <w:jc w:val="both"/>
        <w:rPr>
          <w:b/>
          <w:bCs/>
        </w:rPr>
      </w:pPr>
      <w:r>
        <w:rPr>
          <w:noProof/>
          <w:lang w:val="en-US"/>
        </w:rPr>
        <w:drawing>
          <wp:anchor distT="0" distB="0" distL="114300" distR="114300" simplePos="0" relativeHeight="251658752" behindDoc="0" locked="0" layoutInCell="1" allowOverlap="1" wp14:anchorId="1F355457" wp14:editId="07F641E2">
            <wp:simplePos x="0" y="0"/>
            <wp:positionH relativeFrom="column">
              <wp:posOffset>176530</wp:posOffset>
            </wp:positionH>
            <wp:positionV relativeFrom="paragraph">
              <wp:posOffset>498475</wp:posOffset>
            </wp:positionV>
            <wp:extent cx="4180205" cy="2456180"/>
            <wp:effectExtent l="0" t="0" r="0" b="1270"/>
            <wp:wrapTopAndBottom/>
            <wp:docPr id="6161175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0205" cy="2456180"/>
                    </a:xfrm>
                    <a:prstGeom prst="rect">
                      <a:avLst/>
                    </a:prstGeom>
                    <a:noFill/>
                  </pic:spPr>
                </pic:pic>
              </a:graphicData>
            </a:graphic>
            <wp14:sizeRelH relativeFrom="margin">
              <wp14:pctWidth>0</wp14:pctWidth>
            </wp14:sizeRelH>
            <wp14:sizeRelV relativeFrom="margin">
              <wp14:pctHeight>0</wp14:pctHeight>
            </wp14:sizeRelV>
          </wp:anchor>
        </w:drawing>
      </w:r>
      <w:r w:rsidR="00047168" w:rsidRPr="00F27368">
        <w:rPr>
          <w:b/>
          <w:bCs/>
        </w:rPr>
        <w:t xml:space="preserve">Forschungspraxis </w:t>
      </w:r>
      <w:r w:rsidR="00B32109" w:rsidRPr="00F27368">
        <w:t xml:space="preserve">(inspiriert von </w:t>
      </w:r>
      <w:proofErr w:type="spellStart"/>
      <w:r w:rsidR="00B32109" w:rsidRPr="00F27368">
        <w:t>Ligozats</w:t>
      </w:r>
      <w:proofErr w:type="spellEnd"/>
      <w:r w:rsidR="00B32109" w:rsidRPr="00F27368">
        <w:t xml:space="preserve"> „Zehn einfachen Regeln für nachhaltigere Forschung”)</w:t>
      </w:r>
    </w:p>
    <w:p w14:paraId="1931D52D" w14:textId="77777777" w:rsidR="00BE536D" w:rsidRDefault="00BE536D" w:rsidP="00747592">
      <w:pPr>
        <w:ind w:left="284"/>
        <w:jc w:val="both"/>
      </w:pPr>
    </w:p>
    <w:p w14:paraId="32723B4B" w14:textId="36BA03D5" w:rsidR="00047168" w:rsidRPr="00F27368" w:rsidRDefault="00B32109" w:rsidP="00747592">
      <w:pPr>
        <w:ind w:left="284"/>
        <w:jc w:val="both"/>
      </w:pPr>
      <w:r w:rsidRPr="00F27368">
        <w:t xml:space="preserve">Leitlinie: </w:t>
      </w:r>
      <w:r w:rsidR="00047168" w:rsidRPr="00F27368">
        <w:t xml:space="preserve">Ökologische Nachhaltigkeit bei der Planung und Durchführung der vorgeschlagenen Forschung, die die drei Kerndimensionen der Nachhaltigkeit </w:t>
      </w:r>
      <w:r w:rsidR="00F27368">
        <w:t>berücksichtig</w:t>
      </w:r>
      <w:r w:rsidR="00047168" w:rsidRPr="00F27368">
        <w:t>t: Umweltverantwortung, soziale Gerechtigkeit und wirtschaftliche Tragfähigkeit.  </w:t>
      </w:r>
    </w:p>
    <w:p w14:paraId="635974C6" w14:textId="61F97D57" w:rsidR="00047168" w:rsidRPr="00F27368" w:rsidRDefault="00047168" w:rsidP="00747592">
      <w:pPr>
        <w:numPr>
          <w:ilvl w:val="0"/>
          <w:numId w:val="2"/>
        </w:numPr>
        <w:jc w:val="both"/>
      </w:pPr>
      <w:r w:rsidRPr="00F27368">
        <w:t xml:space="preserve">Verringerung des CO2-Fußabdrucks der teilnehmenden Labore: Fernteilnahme an Besprechungen, wann immer Reisen vermieden werden können, </w:t>
      </w:r>
      <w:r w:rsidR="00B32109" w:rsidRPr="00F27368">
        <w:t xml:space="preserve">um </w:t>
      </w:r>
      <w:r w:rsidRPr="00F27368">
        <w:t>durch kluge Planung von Entsendungen und Besprechungen die Reisetätigkeit zu minimieren</w:t>
      </w:r>
      <w:r w:rsidR="00B32109" w:rsidRPr="00F27368">
        <w:t>.  </w:t>
      </w:r>
    </w:p>
    <w:p w14:paraId="79E1C989" w14:textId="1B702EE8" w:rsidR="00047168" w:rsidRPr="00F27368" w:rsidRDefault="00047168" w:rsidP="00747592">
      <w:pPr>
        <w:numPr>
          <w:ilvl w:val="0"/>
          <w:numId w:val="3"/>
        </w:numPr>
        <w:jc w:val="both"/>
      </w:pPr>
      <w:r w:rsidRPr="00F27368">
        <w:t>Sollte die Anschaffung/der Austausch von elektrischen Laborgeräten erforderlich sein, werden Systeme mit dem geringsten Energieverbrauch ausgewählt und Standby-Betrieb nach Möglichkeit vermieden.  </w:t>
      </w:r>
    </w:p>
    <w:p w14:paraId="592AB684" w14:textId="77777777" w:rsidR="00F27368" w:rsidRDefault="00047168" w:rsidP="00747592">
      <w:pPr>
        <w:numPr>
          <w:ilvl w:val="0"/>
          <w:numId w:val="4"/>
        </w:numPr>
        <w:jc w:val="both"/>
      </w:pPr>
      <w:r w:rsidRPr="00F27368">
        <w:t>Verantwortungsvolle P</w:t>
      </w:r>
      <w:r w:rsidR="00F27368">
        <w:t>rojektp</w:t>
      </w:r>
      <w:r w:rsidRPr="00F27368">
        <w:t>lanung (</w:t>
      </w:r>
      <w:r w:rsidR="00F27368">
        <w:t>Nutzung des kollektiven Gedächtnisses</w:t>
      </w:r>
      <w:r w:rsidRPr="00F27368">
        <w:t xml:space="preserve">): </w:t>
      </w:r>
    </w:p>
    <w:p w14:paraId="31386FF3" w14:textId="77777777" w:rsidR="00F27368" w:rsidRDefault="00047168" w:rsidP="00F27368">
      <w:pPr>
        <w:numPr>
          <w:ilvl w:val="1"/>
          <w:numId w:val="4"/>
        </w:numPr>
        <w:jc w:val="both"/>
      </w:pPr>
      <w:r w:rsidRPr="00F27368">
        <w:t xml:space="preserve">Bei der Ausarbeitung dieses </w:t>
      </w:r>
      <w:r w:rsidR="00F27368">
        <w:t>Forschungsantrags</w:t>
      </w:r>
      <w:r w:rsidRPr="00F27368">
        <w:t xml:space="preserve"> </w:t>
      </w:r>
      <w:r w:rsidR="00F27368">
        <w:t>wurden</w:t>
      </w:r>
      <w:r w:rsidRPr="00F27368">
        <w:t xml:space="preserve"> gründliche Literaturrecherche durchgeführt, um </w:t>
      </w:r>
      <w:r w:rsidR="00F27368">
        <w:t xml:space="preserve">thematisch </w:t>
      </w:r>
      <w:r w:rsidRPr="00F27368">
        <w:t xml:space="preserve">verwandte </w:t>
      </w:r>
      <w:r w:rsidR="00F27368">
        <w:t>Studie</w:t>
      </w:r>
      <w:r w:rsidRPr="00F27368">
        <w:t xml:space="preserve">n und </w:t>
      </w:r>
      <w:r w:rsidR="00B32109" w:rsidRPr="00F27368">
        <w:t xml:space="preserve">relevante </w:t>
      </w:r>
      <w:r w:rsidRPr="00F27368">
        <w:t>Wissenslücken und Forschungsfragen </w:t>
      </w:r>
      <w:r w:rsidR="00F27368" w:rsidRPr="00F27368">
        <w:t>zu identifizieren</w:t>
      </w:r>
      <w:r w:rsidR="00F27368">
        <w:t>, welche im „State-</w:t>
      </w:r>
      <w:proofErr w:type="spellStart"/>
      <w:r w:rsidR="00F27368">
        <w:t>of</w:t>
      </w:r>
      <w:proofErr w:type="spellEnd"/>
      <w:r w:rsidR="00F27368">
        <w:t>-</w:t>
      </w:r>
      <w:proofErr w:type="spellStart"/>
      <w:r w:rsidR="00F27368">
        <w:t>the</w:t>
      </w:r>
      <w:proofErr w:type="spellEnd"/>
      <w:r w:rsidR="00F27368">
        <w:t>-Art“ dargestellt sind</w:t>
      </w:r>
      <w:r w:rsidRPr="00F27368">
        <w:t>.  </w:t>
      </w:r>
    </w:p>
    <w:p w14:paraId="6371C809" w14:textId="77777777" w:rsidR="00F27368" w:rsidRDefault="00047168" w:rsidP="00F27368">
      <w:pPr>
        <w:numPr>
          <w:ilvl w:val="1"/>
          <w:numId w:val="4"/>
        </w:numPr>
        <w:jc w:val="both"/>
      </w:pPr>
      <w:r w:rsidRPr="00F27368">
        <w:t>Planung einer statistisch signifikanten Anzahl von Tests und Kontrollen, um mehrdeutige Ergebnisse und spätere Wiederholungen zu vermeiden</w:t>
      </w:r>
    </w:p>
    <w:p w14:paraId="013BDAD3" w14:textId="2DB9CAFA" w:rsidR="00141DD1" w:rsidRPr="00F27368" w:rsidRDefault="00F27368" w:rsidP="00F27368">
      <w:pPr>
        <w:numPr>
          <w:ilvl w:val="1"/>
          <w:numId w:val="4"/>
        </w:numPr>
        <w:jc w:val="both"/>
      </w:pPr>
      <w:r>
        <w:lastRenderedPageBreak/>
        <w:t xml:space="preserve">entsprechend </w:t>
      </w:r>
      <w:r w:rsidR="00047168" w:rsidRPr="00F27368">
        <w:t>de</w:t>
      </w:r>
      <w:r>
        <w:t>r</w:t>
      </w:r>
      <w:r w:rsidR="00047168" w:rsidRPr="00F27368">
        <w:t xml:space="preserve"> FAIR-Prinzip</w:t>
      </w:r>
      <w:r>
        <w:t>ien</w:t>
      </w:r>
      <w:r w:rsidR="00047168" w:rsidRPr="00F27368">
        <w:t xml:space="preserve"> (</w:t>
      </w:r>
      <w:proofErr w:type="spellStart"/>
      <w:r w:rsidR="00047168" w:rsidRPr="00F27368">
        <w:t>Findable</w:t>
      </w:r>
      <w:proofErr w:type="spellEnd"/>
      <w:r w:rsidR="00047168" w:rsidRPr="00F27368">
        <w:t xml:space="preserve">, </w:t>
      </w:r>
      <w:proofErr w:type="spellStart"/>
      <w:r w:rsidR="00047168" w:rsidRPr="00F27368">
        <w:t>Accessible</w:t>
      </w:r>
      <w:proofErr w:type="spellEnd"/>
      <w:r w:rsidR="00047168" w:rsidRPr="00F27368">
        <w:t>, Interoperable, Re-</w:t>
      </w:r>
      <w:proofErr w:type="spellStart"/>
      <w:r w:rsidR="00047168" w:rsidRPr="00F27368">
        <w:t>usable</w:t>
      </w:r>
      <w:proofErr w:type="spellEnd"/>
      <w:r w:rsidR="00047168" w:rsidRPr="00F27368">
        <w:t xml:space="preserve">) werden die Primärdatensätze zusammen mit ihren Metadaten (nach ihrer Veröffentlichung) öffentlich zugänglich gemacht. Dies gewährleistet Reproduzierbarkeit und </w:t>
      </w:r>
      <w:r w:rsidR="00B32109" w:rsidRPr="00F27368">
        <w:t xml:space="preserve">Transparenz, </w:t>
      </w:r>
      <w:r>
        <w:t xml:space="preserve">und </w:t>
      </w:r>
      <w:r w:rsidR="00047168" w:rsidRPr="00F27368">
        <w:t xml:space="preserve">fördert </w:t>
      </w:r>
      <w:r>
        <w:t>gleichzeitig</w:t>
      </w:r>
      <w:r w:rsidR="00047168" w:rsidRPr="00F27368">
        <w:t xml:space="preserve"> die Sekundärnutzung der Daten und maximale Wirkung der Forschungsmittel.  </w:t>
      </w:r>
    </w:p>
    <w:p w14:paraId="24010A2A" w14:textId="6C289CDF" w:rsidR="00047168" w:rsidRPr="00F27368" w:rsidRDefault="00047168" w:rsidP="00747592">
      <w:pPr>
        <w:numPr>
          <w:ilvl w:val="0"/>
          <w:numId w:val="6"/>
        </w:numPr>
        <w:jc w:val="both"/>
      </w:pPr>
      <w:r w:rsidRPr="00F27368">
        <w:t xml:space="preserve">Alle </w:t>
      </w:r>
      <w:r w:rsidR="00F27368">
        <w:t>PI/ Projektverantwortlichen</w:t>
      </w:r>
      <w:r w:rsidRPr="00F27368">
        <w:t xml:space="preserve"> fördern nachhaltige Ideen und Initiativen </w:t>
      </w:r>
      <w:r w:rsidR="00F27368">
        <w:t>durch eigenes Vorbild</w:t>
      </w:r>
      <w:r w:rsidRPr="00F27368">
        <w:t xml:space="preserve"> und befähigen ihre DCs/Teams, gemeinsam zu gestalten und ihr</w:t>
      </w:r>
      <w:r w:rsidR="00F27368">
        <w:t>e Gewohnheiten und</w:t>
      </w:r>
      <w:r w:rsidRPr="00F27368">
        <w:t xml:space="preserve"> Handl</w:t>
      </w:r>
      <w:r w:rsidR="00F27368">
        <w:t>unge</w:t>
      </w:r>
      <w:r w:rsidRPr="00F27368">
        <w:t xml:space="preserve">n </w:t>
      </w:r>
      <w:r w:rsidR="00F27368">
        <w:t>zu reflektieren</w:t>
      </w:r>
      <w:r w:rsidRPr="00F27368">
        <w:t>. Dazu gehör</w:t>
      </w:r>
      <w:r w:rsidR="00F27368">
        <w:t xml:space="preserve">en </w:t>
      </w:r>
      <w:r w:rsidRPr="00F27368">
        <w:t xml:space="preserve">z. B.: Begrenzung der Verwendung von Einwegmaterialien (Kunststoff); </w:t>
      </w:r>
      <w:r w:rsidR="00F27368" w:rsidRPr="00F27368">
        <w:t>bedachtes</w:t>
      </w:r>
      <w:r w:rsidRPr="00F27368">
        <w:t xml:space="preserve"> Drucken (</w:t>
      </w:r>
      <w:r w:rsidR="00F27368">
        <w:t>was ist notwendig?</w:t>
      </w:r>
      <w:r w:rsidRPr="00F27368">
        <w:t>)</w:t>
      </w:r>
      <w:r w:rsidR="00F27368">
        <w:t>:</w:t>
      </w:r>
      <w:r w:rsidRPr="00F27368">
        <w:t xml:space="preserve"> Nutzung nachhaltiger Verkehrsmittel, z.B. öffentliche Verkehrsmittel, Fahrgemeinschaften; Bevorzugung lokaler, saisonaler und vegetarischer Lebensmittel bei der Organisation von Veranstaltungen; besonnener Umgang mit digitalen Medien (bevorzugt gemeinsame Arbeitsbereiche anstelle des häufigen Austauschs von Dokumenten per E-Mail); möglichst lange Nutzung von Materialien und Erwägung von Spenden, wenn die Verwendung von ansonsten funktionsfähigen Geräten für Forschungszwecke nicht mehr angemessen ist.  </w:t>
      </w:r>
    </w:p>
    <w:p w14:paraId="4F19D2C6" w14:textId="77777777" w:rsidR="00047168" w:rsidRPr="00047168" w:rsidRDefault="00047168" w:rsidP="00747592">
      <w:pPr>
        <w:numPr>
          <w:ilvl w:val="0"/>
          <w:numId w:val="22"/>
        </w:numPr>
        <w:tabs>
          <w:tab w:val="clear" w:pos="360"/>
          <w:tab w:val="num" w:pos="720"/>
        </w:tabs>
        <w:jc w:val="both"/>
        <w:rPr>
          <w:b/>
          <w:bCs/>
          <w:lang w:val="en-GB"/>
        </w:rPr>
      </w:pPr>
      <w:proofErr w:type="spellStart"/>
      <w:r w:rsidRPr="00047168">
        <w:rPr>
          <w:b/>
          <w:bCs/>
          <w:lang w:val="en-GB"/>
        </w:rPr>
        <w:t>Ausbildungsbezogen</w:t>
      </w:r>
      <w:proofErr w:type="spellEnd"/>
      <w:r w:rsidRPr="00047168">
        <w:rPr>
          <w:b/>
          <w:bCs/>
          <w:lang w:val="en-GB"/>
        </w:rPr>
        <w:t>  </w:t>
      </w:r>
    </w:p>
    <w:p w14:paraId="2CB7DBE9" w14:textId="2BB23E0F" w:rsidR="00047168" w:rsidRPr="00F27368" w:rsidRDefault="00141DD1" w:rsidP="00747592">
      <w:pPr>
        <w:numPr>
          <w:ilvl w:val="0"/>
          <w:numId w:val="10"/>
        </w:numPr>
        <w:jc w:val="both"/>
      </w:pPr>
      <w:r w:rsidRPr="00F27368">
        <w:t xml:space="preserve">Das Projekt </w:t>
      </w:r>
      <w:r w:rsidR="00047168" w:rsidRPr="00F27368">
        <w:t xml:space="preserve">wird das Bewusstsein für Umweltprobleme und den notwendigen Übergang zu nachhaltigeren </w:t>
      </w:r>
      <w:r w:rsidR="00F27368">
        <w:t>S</w:t>
      </w:r>
      <w:r w:rsidR="00047168" w:rsidRPr="00F27368">
        <w:t xml:space="preserve">ystemen schärfen. Durch die Einbeziehung „grüner Aspekte” in die Ausbildung von Doktoranden fördern wir deren nachhaltiges Denken und unterstützen und begleiten </w:t>
      </w:r>
      <w:r w:rsidR="00F27368">
        <w:t>den wissenschaftlichen Nachwuchs</w:t>
      </w:r>
      <w:r w:rsidR="00047168" w:rsidRPr="00F27368">
        <w:t xml:space="preserve"> dabei, die Umweltauswirkungen ihrer jeweiligen Forschungsaktivitäten und -ergebnisse </w:t>
      </w:r>
      <w:r w:rsidR="00495494">
        <w:t xml:space="preserve">bewusst </w:t>
      </w:r>
      <w:r w:rsidR="00047168" w:rsidRPr="00F27368">
        <w:t>zu über</w:t>
      </w:r>
      <w:r w:rsidR="00495494">
        <w:t>denken</w:t>
      </w:r>
      <w:r w:rsidR="00047168" w:rsidRPr="00F27368">
        <w:t xml:space="preserve"> und zu minimieren.  </w:t>
      </w:r>
    </w:p>
    <w:p w14:paraId="247C354A" w14:textId="1F6B9EA9" w:rsidR="00047168" w:rsidRPr="00F27368" w:rsidRDefault="00495494" w:rsidP="00747592">
      <w:pPr>
        <w:numPr>
          <w:ilvl w:val="0"/>
          <w:numId w:val="11"/>
        </w:numPr>
        <w:jc w:val="both"/>
      </w:pPr>
      <w:r>
        <w:t>Forschung und Entwicklung in Einklang</w:t>
      </w:r>
      <w:r w:rsidR="00047168" w:rsidRPr="00F27368">
        <w:t xml:space="preserve"> mit den Zielen der Vereinten Nationen für nachhaltige Entwicklung (SDGs), war für die Gestaltung des </w:t>
      </w:r>
      <w:r>
        <w:t xml:space="preserve">Forschungs- und </w:t>
      </w:r>
      <w:r w:rsidR="00047168" w:rsidRPr="00F27368">
        <w:t xml:space="preserve">Ausbildungsprogramms </w:t>
      </w:r>
      <w:r w:rsidR="00141DD1" w:rsidRPr="00F27368">
        <w:t>des Projekts</w:t>
      </w:r>
      <w:r w:rsidR="00047168" w:rsidRPr="00F27368">
        <w:t xml:space="preserve"> </w:t>
      </w:r>
      <w:r>
        <w:t>eine entscheidende Prämisse</w:t>
      </w:r>
      <w:r w:rsidR="00047168" w:rsidRPr="00F27368">
        <w:t xml:space="preserve">. Um die nachhaltige Umsetzung von </w:t>
      </w:r>
      <w:proofErr w:type="spellStart"/>
      <w:r w:rsidR="00047168" w:rsidRPr="00F27368">
        <w:t>DeepTech</w:t>
      </w:r>
      <w:proofErr w:type="spellEnd"/>
      <w:r w:rsidR="00047168" w:rsidRPr="00F27368">
        <w:t xml:space="preserve">-Technologien zu fördern, umfasst jeder Ausbildungsblock ein Seminar, </w:t>
      </w:r>
      <w:r>
        <w:t>welches</w:t>
      </w:r>
      <w:r w:rsidR="00047168" w:rsidRPr="00F27368">
        <w:t xml:space="preserve"> sich auf die Verbesserung der Lebenszyklusinventare (LCI) von</w:t>
      </w:r>
      <w:proofErr w:type="gramStart"/>
      <w:r w:rsidR="00047168" w:rsidRPr="00F27368">
        <w:t xml:space="preserve"> </w:t>
      </w:r>
      <w:r w:rsidR="00141DD1" w:rsidRPr="00F27368">
        <w:t>….</w:t>
      </w:r>
      <w:proofErr w:type="gramEnd"/>
      <w:r w:rsidR="00141DD1" w:rsidRPr="00F27368">
        <w:t xml:space="preserve">. </w:t>
      </w:r>
      <w:r w:rsidR="00047168" w:rsidRPr="00F27368">
        <w:t xml:space="preserve">Technologien konzentriert, für die derzeit </w:t>
      </w:r>
      <w:r>
        <w:t xml:space="preserve">noch </w:t>
      </w:r>
      <w:r w:rsidR="00047168" w:rsidRPr="00F27368">
        <w:t xml:space="preserve">wichtige Daten fehlen. Während der Schulungen diskutieren und bewerten die </w:t>
      </w:r>
      <w:proofErr w:type="spellStart"/>
      <w:r w:rsidR="00047168" w:rsidRPr="00F27368">
        <w:t>D</w:t>
      </w:r>
      <w:r>
        <w:t>oktroandInnen</w:t>
      </w:r>
      <w:proofErr w:type="spellEnd"/>
      <w:r w:rsidR="00047168" w:rsidRPr="00F27368">
        <w:t xml:space="preserve"> Datensätze aus ihrer eigenen Arbeit und tragen jeweils hochwertige Daten für durchgeführte Lebenszyklusanalysen (LCA) bei. </w:t>
      </w:r>
      <w:r w:rsidR="00141DD1" w:rsidRPr="00F27368">
        <w:t xml:space="preserve">Nach der Qualitätssicherung und Veröffentlichung werden alle </w:t>
      </w:r>
      <w:r w:rsidR="00047168" w:rsidRPr="00F27368">
        <w:t xml:space="preserve">Datensätze zusammengestellt und zentral für </w:t>
      </w:r>
      <w:r>
        <w:t>eine</w:t>
      </w:r>
      <w:r w:rsidR="00047168" w:rsidRPr="00F27368">
        <w:t xml:space="preserve"> sekundäre Nutzung gespeichert. </w:t>
      </w:r>
      <w:r w:rsidR="00141DD1" w:rsidRPr="00F27368">
        <w:t xml:space="preserve">Als </w:t>
      </w:r>
      <w:r w:rsidR="00047168" w:rsidRPr="00F27368">
        <w:t xml:space="preserve">Open Source </w:t>
      </w:r>
      <w:r w:rsidR="00141DD1" w:rsidRPr="00F27368">
        <w:t>stehen sie der breiteren wissenschaftlichen Gemeinschaft</w:t>
      </w:r>
      <w:r>
        <w:t xml:space="preserve"> nach Abschluss des Projektes</w:t>
      </w:r>
      <w:r w:rsidR="00141DD1" w:rsidRPr="00F27368">
        <w:t xml:space="preserve"> zur Verfügung</w:t>
      </w:r>
      <w:r w:rsidR="00047168" w:rsidRPr="00F27368">
        <w:t xml:space="preserve">. </w:t>
      </w:r>
    </w:p>
    <w:p w14:paraId="4C1521D6" w14:textId="224607CD" w:rsidR="00047168" w:rsidRPr="00F27368" w:rsidRDefault="00047168" w:rsidP="00747592">
      <w:pPr>
        <w:numPr>
          <w:ilvl w:val="0"/>
          <w:numId w:val="12"/>
        </w:numPr>
        <w:jc w:val="both"/>
      </w:pPr>
      <w:r w:rsidRPr="00F27368">
        <w:t>Wann immer möglich werden Schulungen online (</w:t>
      </w:r>
      <w:proofErr w:type="spellStart"/>
      <w:r w:rsidRPr="00F27368">
        <w:t>ePortfolio</w:t>
      </w:r>
      <w:proofErr w:type="spellEnd"/>
      <w:r w:rsidRPr="00F27368">
        <w:t xml:space="preserve">) </w:t>
      </w:r>
      <w:r w:rsidR="00141DD1" w:rsidRPr="00F27368">
        <w:t>oder in kompakten einwöchigen Bootcamps angeboten</w:t>
      </w:r>
      <w:r w:rsidRPr="00F27368">
        <w:t>,</w:t>
      </w:r>
      <w:r w:rsidR="00141DD1" w:rsidRPr="00F27368">
        <w:t xml:space="preserve"> </w:t>
      </w:r>
      <w:r w:rsidRPr="00F27368">
        <w:t xml:space="preserve">um die Zugänglichkeit und Inklusivität zu </w:t>
      </w:r>
      <w:r w:rsidRPr="00F27368">
        <w:lastRenderedPageBreak/>
        <w:t xml:space="preserve">gewährleisten und den ökologischen Fußabdruck durch Reisen zu </w:t>
      </w:r>
      <w:r w:rsidR="00141DD1" w:rsidRPr="00F27368">
        <w:t xml:space="preserve">verschiedenen </w:t>
      </w:r>
      <w:proofErr w:type="gramStart"/>
      <w:r w:rsidRPr="00F27368">
        <w:t>Schulungsorten  zu</w:t>
      </w:r>
      <w:proofErr w:type="gramEnd"/>
      <w:r w:rsidRPr="00F27368">
        <w:t xml:space="preserve"> verringern.  </w:t>
      </w:r>
    </w:p>
    <w:p w14:paraId="3FBC46B0" w14:textId="48B1F8D5" w:rsidR="00047168" w:rsidRPr="00F27368" w:rsidRDefault="00047168" w:rsidP="00747592">
      <w:pPr>
        <w:numPr>
          <w:ilvl w:val="0"/>
          <w:numId w:val="13"/>
        </w:numPr>
        <w:jc w:val="both"/>
      </w:pPr>
      <w:r w:rsidRPr="00F27368">
        <w:t>Im Einklang mit der Startup-Village-Initiative der EU-Kommission dienen ausgewählte ländliche Gebiete mit einem Startup-Ökosystem als Schulungsorte, um die nicht-akademische Perspektive und die unternehmerische Denkweise zu ergänzen/zu formen, wie z. B</w:t>
      </w:r>
      <w:r w:rsidR="00141DD1" w:rsidRPr="00F27368">
        <w:t>.</w:t>
      </w:r>
      <w:proofErr w:type="gramStart"/>
      <w:r w:rsidR="00141DD1" w:rsidRPr="00F27368">
        <w:t xml:space="preserve"> </w:t>
      </w:r>
      <w:r w:rsidRPr="00F27368">
        <w:t>….</w:t>
      </w:r>
      <w:proofErr w:type="gramEnd"/>
      <w:r w:rsidRPr="00F27368">
        <w:t xml:space="preserve">. Weitere Startup-Ökosysteme werden kontaktiert, sobald die Exkursionen für jedes der </w:t>
      </w:r>
      <w:r w:rsidR="00141DD1" w:rsidRPr="00F27368">
        <w:t xml:space="preserve">Bootcamps </w:t>
      </w:r>
      <w:r w:rsidRPr="00F27368">
        <w:t xml:space="preserve">im Detail geplant sind. </w:t>
      </w:r>
    </w:p>
    <w:p w14:paraId="1BE57B4F" w14:textId="4333009A" w:rsidR="00047168" w:rsidRPr="00F27368" w:rsidRDefault="00047168" w:rsidP="00747592">
      <w:pPr>
        <w:numPr>
          <w:ilvl w:val="0"/>
          <w:numId w:val="13"/>
        </w:numPr>
        <w:jc w:val="both"/>
      </w:pPr>
      <w:r w:rsidRPr="00F27368">
        <w:t>Die Schulungen werden auch nachhaltige Managementinstrumente vorstellen, z. B</w:t>
      </w:r>
      <w:r w:rsidR="00141DD1" w:rsidRPr="00F27368">
        <w:t xml:space="preserve">. </w:t>
      </w:r>
      <w:r w:rsidRPr="00F27368">
        <w:t xml:space="preserve">Umweltmanagementsysteme (die globale Norm ISO 14001 und Umweltmanagement- und Audit-Systeme), Lebenszyklusanalysen (LCA), </w:t>
      </w:r>
      <w:r w:rsidR="00141DD1" w:rsidRPr="00F27368">
        <w:t>Instrumente und Rahmenwerke</w:t>
      </w:r>
      <w:r w:rsidRPr="00F27368">
        <w:t>,</w:t>
      </w:r>
      <w:r w:rsidR="00141DD1" w:rsidRPr="00F27368">
        <w:t xml:space="preserve"> die Organisationen/Regionen bei der Einrichtung und Überwachung eines nachhaltigen Lieferkettenmanagements und von Kreislaufwirtschaftspraktiken helfen, Rahmenwerke für</w:t>
      </w:r>
      <w:r w:rsidR="002A4FAF" w:rsidRPr="00F27368">
        <w:t xml:space="preserve"> die soziale Verantwortung von Unternehmen </w:t>
      </w:r>
      <w:r w:rsidR="00141DD1" w:rsidRPr="00F27368">
        <w:t xml:space="preserve">(CSR) oder grüne Zertifizierungen/Labels. </w:t>
      </w:r>
    </w:p>
    <w:p w14:paraId="4DB8513A" w14:textId="20F9691A" w:rsidR="00047168" w:rsidRPr="00047168" w:rsidRDefault="00047168" w:rsidP="00747592">
      <w:pPr>
        <w:numPr>
          <w:ilvl w:val="0"/>
          <w:numId w:val="22"/>
        </w:numPr>
        <w:jc w:val="both"/>
        <w:rPr>
          <w:b/>
          <w:bCs/>
          <w:lang w:val="en-GB"/>
        </w:rPr>
      </w:pPr>
      <w:proofErr w:type="spellStart"/>
      <w:r w:rsidRPr="00047168">
        <w:rPr>
          <w:b/>
          <w:bCs/>
          <w:lang w:val="en-GB"/>
        </w:rPr>
        <w:t>Umweltaspekte</w:t>
      </w:r>
      <w:proofErr w:type="spellEnd"/>
      <w:r w:rsidRPr="00047168">
        <w:rPr>
          <w:b/>
          <w:bCs/>
          <w:lang w:val="en-GB"/>
        </w:rPr>
        <w:t xml:space="preserve"> auf </w:t>
      </w:r>
      <w:proofErr w:type="spellStart"/>
      <w:r w:rsidR="002A4FAF">
        <w:rPr>
          <w:b/>
          <w:bCs/>
          <w:lang w:val="en-GB"/>
        </w:rPr>
        <w:t>Management</w:t>
      </w:r>
      <w:r w:rsidRPr="00047168">
        <w:rPr>
          <w:b/>
          <w:bCs/>
          <w:lang w:val="en-GB"/>
        </w:rPr>
        <w:t>ebene</w:t>
      </w:r>
      <w:proofErr w:type="spellEnd"/>
      <w:r w:rsidRPr="00047168">
        <w:rPr>
          <w:b/>
          <w:bCs/>
          <w:lang w:val="en-GB"/>
        </w:rPr>
        <w:t>  </w:t>
      </w:r>
    </w:p>
    <w:p w14:paraId="3310FB82" w14:textId="1287AFDC" w:rsidR="00047168" w:rsidRPr="00047168" w:rsidRDefault="00047168" w:rsidP="00747592">
      <w:pPr>
        <w:jc w:val="both"/>
      </w:pPr>
      <w:r w:rsidRPr="00F27368">
        <w:t xml:space="preserve">Alle </w:t>
      </w:r>
      <w:proofErr w:type="spellStart"/>
      <w:r w:rsidRPr="00F27368">
        <w:t>Konsortiums</w:t>
      </w:r>
      <w:r w:rsidR="00BE536D">
        <w:t>partnerInnen</w:t>
      </w:r>
      <w:proofErr w:type="spellEnd"/>
      <w:r w:rsidRPr="00F27368">
        <w:t xml:space="preserve">, einschließlich der </w:t>
      </w:r>
      <w:r w:rsidR="00495494">
        <w:t>DoktorandInnen</w:t>
      </w:r>
      <w:r w:rsidRPr="00F27368">
        <w:t xml:space="preserve"> und </w:t>
      </w:r>
      <w:r w:rsidR="00BE536D">
        <w:t>assoziierter PartnerInnen</w:t>
      </w:r>
      <w:r w:rsidRPr="00F27368">
        <w:t xml:space="preserve">, </w:t>
      </w:r>
      <w:r w:rsidR="00BE536D">
        <w:t>beteiligen</w:t>
      </w:r>
      <w:r w:rsidRPr="00F27368">
        <w:t xml:space="preserve"> sich aktiv an allen Aspekten der Umsetzung der MSCA-Gr</w:t>
      </w:r>
      <w:r w:rsidR="00BE536D">
        <w:t xml:space="preserve">een </w:t>
      </w:r>
      <w:r w:rsidRPr="00F27368">
        <w:t xml:space="preserve">Charta. </w:t>
      </w:r>
      <w:r w:rsidRPr="00495494">
        <w:t xml:space="preserve">Dazu gehören beispielsweise: </w:t>
      </w:r>
    </w:p>
    <w:p w14:paraId="2D8D711C" w14:textId="77777777" w:rsidR="00047168" w:rsidRPr="00F27368" w:rsidRDefault="00047168" w:rsidP="00747592">
      <w:pPr>
        <w:numPr>
          <w:ilvl w:val="0"/>
          <w:numId w:val="16"/>
        </w:numPr>
        <w:jc w:val="both"/>
      </w:pPr>
      <w:r w:rsidRPr="00F27368">
        <w:t>Förderung der umweltfreundlichen Beschaffung nachhaltiger Materialien als Alternative zu Einwegkunststoffen.  </w:t>
      </w:r>
    </w:p>
    <w:p w14:paraId="26391292" w14:textId="77777777" w:rsidR="00047168" w:rsidRPr="00F27368" w:rsidRDefault="00047168" w:rsidP="00747592">
      <w:pPr>
        <w:numPr>
          <w:ilvl w:val="0"/>
          <w:numId w:val="17"/>
        </w:numPr>
        <w:jc w:val="both"/>
      </w:pPr>
      <w:r w:rsidRPr="00F27368">
        <w:t>Nutzung kreativer Telekonferenz- und Hybridkonferenz-Tools und Vermeidung unnötiger Reisen.  </w:t>
      </w:r>
    </w:p>
    <w:p w14:paraId="768A24E1" w14:textId="77777777" w:rsidR="00047168" w:rsidRPr="00F27368" w:rsidRDefault="00047168" w:rsidP="00747592">
      <w:pPr>
        <w:numPr>
          <w:ilvl w:val="0"/>
          <w:numId w:val="18"/>
        </w:numPr>
        <w:jc w:val="both"/>
      </w:pPr>
      <w:r w:rsidRPr="00F27368">
        <w:t xml:space="preserve">Das Konsortialmanagement wird sicherstellen, dass alle programmbezogenen Veranstaltungen, die eine physische Anwesenheit erfordern, so nachhaltig wie möglich organisiert werden, unter Berücksichtigung der Anzahl und Dauer der Veranstaltungen, des Veranstaltungsortes, der Anreise, der Unterbringung, der Verpflegung, der Handouts usw. DCs und PIs werden ebenfalls in die lokale Veranstaltungsplanung mit einbezogen, um mit ihrem lokalen Wissen kohlenstoffarme Verkehrsmittel zu fördern, optimale Reiserouten zu ermitteln oder – wo unvermeidbar – Direktverbindungen zu nutzen, um den ökologischen Fußabdruck des Projekts zu minimieren. </w:t>
      </w:r>
    </w:p>
    <w:p w14:paraId="2CB5D4A2" w14:textId="3650C2E9" w:rsidR="00047168" w:rsidRPr="00F27368" w:rsidRDefault="00047168" w:rsidP="00747592">
      <w:pPr>
        <w:numPr>
          <w:ilvl w:val="0"/>
          <w:numId w:val="19"/>
        </w:numPr>
        <w:jc w:val="both"/>
      </w:pPr>
      <w:r w:rsidRPr="00F27368">
        <w:t xml:space="preserve">Förderung des Bewusstseins für Nachhaltigkeitsfragen im Zusammenhang mit </w:t>
      </w:r>
      <w:r w:rsidR="002A4FAF" w:rsidRPr="00F27368">
        <w:t>dem Projekt</w:t>
      </w:r>
      <w:r w:rsidRPr="00F27368">
        <w:t xml:space="preserve">, die im DEP (Verbreitungs- und Verwertungsplan) dargelegt werden. Neuartige Ideen und Beispiele für bewährte Verfahren zur Verbesserung der Nachhaltigkeit von Forschungsprojekten/-programmen werden über soziale Medien ausgetauscht, um andere zu inspirieren, die Umweltauswirkungen ihrer Forschung und forschungsbezogenen Aktivitäten zu reduzieren. </w:t>
      </w:r>
    </w:p>
    <w:p w14:paraId="56AB1F4B" w14:textId="77777777" w:rsidR="00047168" w:rsidRPr="00F27368" w:rsidRDefault="00047168" w:rsidP="00747592">
      <w:pPr>
        <w:numPr>
          <w:ilvl w:val="0"/>
          <w:numId w:val="20"/>
        </w:numPr>
        <w:jc w:val="both"/>
      </w:pPr>
      <w:r w:rsidRPr="00F27368">
        <w:lastRenderedPageBreak/>
        <w:t>Zugreisen werden Flugreisen vorgezogen, wenn Zeit und Kosten angemessen sind.  </w:t>
      </w:r>
    </w:p>
    <w:p w14:paraId="1D1F4AF2" w14:textId="5D3D012E" w:rsidR="00047168" w:rsidRPr="00F27368" w:rsidRDefault="00047168" w:rsidP="00747592">
      <w:pPr>
        <w:numPr>
          <w:ilvl w:val="0"/>
          <w:numId w:val="21"/>
        </w:numPr>
        <w:jc w:val="both"/>
      </w:pPr>
      <w:r w:rsidRPr="00F27368">
        <w:t xml:space="preserve">Der E-Mail-Verkehr soll auf das Wesentliche reduziert werden – ein erster Schritt ist die Sensibilisierung beider Teams für die Nutzung einer sicheren Daten- und Informationsplattform (z. B. </w:t>
      </w:r>
      <w:proofErr w:type="spellStart"/>
      <w:r w:rsidRPr="00F27368">
        <w:t>NextCloud</w:t>
      </w:r>
      <w:proofErr w:type="spellEnd"/>
      <w:r w:rsidRPr="00F27368">
        <w:t>)</w:t>
      </w:r>
      <w:r w:rsidR="002A4FAF" w:rsidRPr="00F27368">
        <w:t xml:space="preserve">. </w:t>
      </w:r>
    </w:p>
    <w:p w14:paraId="0A80D0A9" w14:textId="4C4F5581" w:rsidR="00047168" w:rsidRPr="00F27368" w:rsidRDefault="00047168" w:rsidP="00747592">
      <w:pPr>
        <w:numPr>
          <w:ilvl w:val="0"/>
          <w:numId w:val="21"/>
        </w:numPr>
        <w:jc w:val="both"/>
      </w:pPr>
      <w:r w:rsidRPr="00F27368">
        <w:t xml:space="preserve">Wissensintegration und Wissenszirkulation: Die Vernetzung während Bootcamps und Veranstaltungen, der Austausch zwischen Labors und die Einbindung von DCs in verschiedene F&amp;E-Umgebungen tragen dazu bei, wissenschaftliche Erkenntnisse schneller zu beschleunigen und zu verbreiten, anstatt sie parallel in verschiedenen Labors zu entwickeln. Dies spart Ressourcen und kommt sowohl dem einzelnen Forscher als auch der Forschungsgemeinschaft zugute. </w:t>
      </w:r>
    </w:p>
    <w:p w14:paraId="11EA82E1" w14:textId="77777777" w:rsidR="00047168" w:rsidRPr="00F27368" w:rsidRDefault="00047168" w:rsidP="00747592">
      <w:pPr>
        <w:jc w:val="both"/>
      </w:pPr>
    </w:p>
    <w:sectPr w:rsidR="00047168" w:rsidRPr="00F27368" w:rsidSect="00047168">
      <w:pgSz w:w="11906" w:h="16838"/>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031"/>
    <w:multiLevelType w:val="multilevel"/>
    <w:tmpl w:val="96D4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556E5"/>
    <w:multiLevelType w:val="multilevel"/>
    <w:tmpl w:val="2C08A7F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711F0"/>
    <w:multiLevelType w:val="multilevel"/>
    <w:tmpl w:val="A522B4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4578BE"/>
    <w:multiLevelType w:val="multilevel"/>
    <w:tmpl w:val="C9741F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D5BE3"/>
    <w:multiLevelType w:val="multilevel"/>
    <w:tmpl w:val="952C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240FB4"/>
    <w:multiLevelType w:val="multilevel"/>
    <w:tmpl w:val="26642E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526C11"/>
    <w:multiLevelType w:val="multilevel"/>
    <w:tmpl w:val="391653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66942E1"/>
    <w:multiLevelType w:val="multilevel"/>
    <w:tmpl w:val="0C64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D23452"/>
    <w:multiLevelType w:val="multilevel"/>
    <w:tmpl w:val="E8B8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BE7663"/>
    <w:multiLevelType w:val="multilevel"/>
    <w:tmpl w:val="F42E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A4768A"/>
    <w:multiLevelType w:val="multilevel"/>
    <w:tmpl w:val="97BE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BA716A"/>
    <w:multiLevelType w:val="multilevel"/>
    <w:tmpl w:val="8A5E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3547E1"/>
    <w:multiLevelType w:val="multilevel"/>
    <w:tmpl w:val="A34E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F60FE7"/>
    <w:multiLevelType w:val="hybridMultilevel"/>
    <w:tmpl w:val="78F8494A"/>
    <w:lvl w:ilvl="0" w:tplc="0407000F">
      <w:start w:val="1"/>
      <w:numFmt w:val="decimal"/>
      <w:lvlText w:val="%1."/>
      <w:lvlJc w:val="left"/>
      <w:pPr>
        <w:ind w:left="765" w:hanging="360"/>
      </w:pPr>
    </w:lvl>
    <w:lvl w:ilvl="1" w:tplc="04070019" w:tentative="1">
      <w:start w:val="1"/>
      <w:numFmt w:val="lowerLetter"/>
      <w:lvlText w:val="%2."/>
      <w:lvlJc w:val="left"/>
      <w:pPr>
        <w:ind w:left="1485" w:hanging="360"/>
      </w:pPr>
    </w:lvl>
    <w:lvl w:ilvl="2" w:tplc="0407001B" w:tentative="1">
      <w:start w:val="1"/>
      <w:numFmt w:val="lowerRoman"/>
      <w:lvlText w:val="%3."/>
      <w:lvlJc w:val="right"/>
      <w:pPr>
        <w:ind w:left="2205" w:hanging="180"/>
      </w:pPr>
    </w:lvl>
    <w:lvl w:ilvl="3" w:tplc="0407000F" w:tentative="1">
      <w:start w:val="1"/>
      <w:numFmt w:val="decimal"/>
      <w:lvlText w:val="%4."/>
      <w:lvlJc w:val="left"/>
      <w:pPr>
        <w:ind w:left="2925" w:hanging="360"/>
      </w:pPr>
    </w:lvl>
    <w:lvl w:ilvl="4" w:tplc="04070019" w:tentative="1">
      <w:start w:val="1"/>
      <w:numFmt w:val="lowerLetter"/>
      <w:lvlText w:val="%5."/>
      <w:lvlJc w:val="left"/>
      <w:pPr>
        <w:ind w:left="3645" w:hanging="360"/>
      </w:pPr>
    </w:lvl>
    <w:lvl w:ilvl="5" w:tplc="0407001B" w:tentative="1">
      <w:start w:val="1"/>
      <w:numFmt w:val="lowerRoman"/>
      <w:lvlText w:val="%6."/>
      <w:lvlJc w:val="right"/>
      <w:pPr>
        <w:ind w:left="4365" w:hanging="180"/>
      </w:pPr>
    </w:lvl>
    <w:lvl w:ilvl="6" w:tplc="0407000F" w:tentative="1">
      <w:start w:val="1"/>
      <w:numFmt w:val="decimal"/>
      <w:lvlText w:val="%7."/>
      <w:lvlJc w:val="left"/>
      <w:pPr>
        <w:ind w:left="5085" w:hanging="360"/>
      </w:pPr>
    </w:lvl>
    <w:lvl w:ilvl="7" w:tplc="04070019" w:tentative="1">
      <w:start w:val="1"/>
      <w:numFmt w:val="lowerLetter"/>
      <w:lvlText w:val="%8."/>
      <w:lvlJc w:val="left"/>
      <w:pPr>
        <w:ind w:left="5805" w:hanging="360"/>
      </w:pPr>
    </w:lvl>
    <w:lvl w:ilvl="8" w:tplc="0407001B" w:tentative="1">
      <w:start w:val="1"/>
      <w:numFmt w:val="lowerRoman"/>
      <w:lvlText w:val="%9."/>
      <w:lvlJc w:val="right"/>
      <w:pPr>
        <w:ind w:left="6525" w:hanging="180"/>
      </w:pPr>
    </w:lvl>
  </w:abstractNum>
  <w:abstractNum w:abstractNumId="14" w15:restartNumberingAfterBreak="0">
    <w:nsid w:val="483C7A98"/>
    <w:multiLevelType w:val="multilevel"/>
    <w:tmpl w:val="E1A8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5A577C"/>
    <w:multiLevelType w:val="multilevel"/>
    <w:tmpl w:val="E538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994274"/>
    <w:multiLevelType w:val="multilevel"/>
    <w:tmpl w:val="4D96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332CFF"/>
    <w:multiLevelType w:val="multilevel"/>
    <w:tmpl w:val="BED6A8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973F0F"/>
    <w:multiLevelType w:val="multilevel"/>
    <w:tmpl w:val="E3B2CC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793178"/>
    <w:multiLevelType w:val="multilevel"/>
    <w:tmpl w:val="0DDC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3E1E5E"/>
    <w:multiLevelType w:val="multilevel"/>
    <w:tmpl w:val="6430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665AC8"/>
    <w:multiLevelType w:val="multilevel"/>
    <w:tmpl w:val="046E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C95A5B"/>
    <w:multiLevelType w:val="multilevel"/>
    <w:tmpl w:val="5FCA35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C81A92"/>
    <w:multiLevelType w:val="multilevel"/>
    <w:tmpl w:val="FB66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D7212F"/>
    <w:multiLevelType w:val="multilevel"/>
    <w:tmpl w:val="A038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85250F"/>
    <w:multiLevelType w:val="multilevel"/>
    <w:tmpl w:val="C918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5324835">
    <w:abstractNumId w:val="11"/>
  </w:num>
  <w:num w:numId="2" w16cid:durableId="1875534269">
    <w:abstractNumId w:val="3"/>
  </w:num>
  <w:num w:numId="3" w16cid:durableId="2015451548">
    <w:abstractNumId w:val="17"/>
  </w:num>
  <w:num w:numId="4" w16cid:durableId="1981232061">
    <w:abstractNumId w:val="1"/>
  </w:num>
  <w:num w:numId="5" w16cid:durableId="951790512">
    <w:abstractNumId w:val="5"/>
  </w:num>
  <w:num w:numId="6" w16cid:durableId="1740444301">
    <w:abstractNumId w:val="8"/>
  </w:num>
  <w:num w:numId="7" w16cid:durableId="1332639128">
    <w:abstractNumId w:val="22"/>
  </w:num>
  <w:num w:numId="8" w16cid:durableId="1440755081">
    <w:abstractNumId w:val="9"/>
  </w:num>
  <w:num w:numId="9" w16cid:durableId="162402978">
    <w:abstractNumId w:val="2"/>
  </w:num>
  <w:num w:numId="10" w16cid:durableId="207188020">
    <w:abstractNumId w:val="23"/>
  </w:num>
  <w:num w:numId="11" w16cid:durableId="485364159">
    <w:abstractNumId w:val="12"/>
  </w:num>
  <w:num w:numId="12" w16cid:durableId="1849060962">
    <w:abstractNumId w:val="0"/>
  </w:num>
  <w:num w:numId="13" w16cid:durableId="466777425">
    <w:abstractNumId w:val="25"/>
  </w:num>
  <w:num w:numId="14" w16cid:durableId="1943149027">
    <w:abstractNumId w:val="20"/>
  </w:num>
  <w:num w:numId="15" w16cid:durableId="1470586771">
    <w:abstractNumId w:val="18"/>
  </w:num>
  <w:num w:numId="16" w16cid:durableId="1729768473">
    <w:abstractNumId w:val="19"/>
  </w:num>
  <w:num w:numId="17" w16cid:durableId="307170141">
    <w:abstractNumId w:val="24"/>
  </w:num>
  <w:num w:numId="18" w16cid:durableId="1171139614">
    <w:abstractNumId w:val="7"/>
  </w:num>
  <w:num w:numId="19" w16cid:durableId="857888420">
    <w:abstractNumId w:val="10"/>
  </w:num>
  <w:num w:numId="20" w16cid:durableId="261186862">
    <w:abstractNumId w:val="4"/>
  </w:num>
  <w:num w:numId="21" w16cid:durableId="1888908366">
    <w:abstractNumId w:val="21"/>
  </w:num>
  <w:num w:numId="22" w16cid:durableId="299309963">
    <w:abstractNumId w:val="6"/>
  </w:num>
  <w:num w:numId="23" w16cid:durableId="431248681">
    <w:abstractNumId w:val="16"/>
  </w:num>
  <w:num w:numId="24" w16cid:durableId="707680683">
    <w:abstractNumId w:val="14"/>
  </w:num>
  <w:num w:numId="25" w16cid:durableId="1900285778">
    <w:abstractNumId w:val="15"/>
  </w:num>
  <w:num w:numId="26" w16cid:durableId="14151268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68"/>
    <w:rsid w:val="00047168"/>
    <w:rsid w:val="000737D9"/>
    <w:rsid w:val="00141DD1"/>
    <w:rsid w:val="002026F6"/>
    <w:rsid w:val="002A4FAF"/>
    <w:rsid w:val="00495494"/>
    <w:rsid w:val="00523FC2"/>
    <w:rsid w:val="00711612"/>
    <w:rsid w:val="00747592"/>
    <w:rsid w:val="00A069B9"/>
    <w:rsid w:val="00B32109"/>
    <w:rsid w:val="00BE536D"/>
    <w:rsid w:val="00C452A2"/>
    <w:rsid w:val="00F27368"/>
    <w:rsid w:val="00F5281A"/>
    <w:rsid w:val="00FE31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45B5A"/>
  <w15:chartTrackingRefBased/>
  <w15:docId w15:val="{3C5075A6-CF8D-43C5-90C7-0A22914D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471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471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4716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4716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4716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4716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4716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4716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4716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4716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04716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4716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4716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4716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4716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4716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4716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47168"/>
    <w:rPr>
      <w:rFonts w:eastAsiaTheme="majorEastAsia" w:cstheme="majorBidi"/>
      <w:color w:val="272727" w:themeColor="text1" w:themeTint="D8"/>
    </w:rPr>
  </w:style>
  <w:style w:type="paragraph" w:styleId="Titel">
    <w:name w:val="Title"/>
    <w:basedOn w:val="Standard"/>
    <w:next w:val="Standard"/>
    <w:link w:val="TitelZchn"/>
    <w:uiPriority w:val="10"/>
    <w:qFormat/>
    <w:rsid w:val="000471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4716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4716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4716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4716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47168"/>
    <w:rPr>
      <w:i/>
      <w:iCs/>
      <w:color w:val="404040" w:themeColor="text1" w:themeTint="BF"/>
    </w:rPr>
  </w:style>
  <w:style w:type="paragraph" w:styleId="Listenabsatz">
    <w:name w:val="List Paragraph"/>
    <w:basedOn w:val="Standard"/>
    <w:uiPriority w:val="34"/>
    <w:qFormat/>
    <w:rsid w:val="00047168"/>
    <w:pPr>
      <w:ind w:left="720"/>
      <w:contextualSpacing/>
    </w:pPr>
  </w:style>
  <w:style w:type="character" w:styleId="IntensiveHervorhebung">
    <w:name w:val="Intense Emphasis"/>
    <w:basedOn w:val="Absatz-Standardschriftart"/>
    <w:uiPriority w:val="21"/>
    <w:qFormat/>
    <w:rsid w:val="00047168"/>
    <w:rPr>
      <w:i/>
      <w:iCs/>
      <w:color w:val="0F4761" w:themeColor="accent1" w:themeShade="BF"/>
    </w:rPr>
  </w:style>
  <w:style w:type="paragraph" w:styleId="IntensivesZitat">
    <w:name w:val="Intense Quote"/>
    <w:basedOn w:val="Standard"/>
    <w:next w:val="Standard"/>
    <w:link w:val="IntensivesZitatZchn"/>
    <w:uiPriority w:val="30"/>
    <w:qFormat/>
    <w:rsid w:val="00047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47168"/>
    <w:rPr>
      <w:i/>
      <w:iCs/>
      <w:color w:val="0F4761" w:themeColor="accent1" w:themeShade="BF"/>
    </w:rPr>
  </w:style>
  <w:style w:type="character" w:styleId="IntensiverVerweis">
    <w:name w:val="Intense Reference"/>
    <w:basedOn w:val="Absatz-Standardschriftart"/>
    <w:uiPriority w:val="32"/>
    <w:qFormat/>
    <w:rsid w:val="000471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f5bc9bc-6b1a-4e5b-939a-0f91b99728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EF1C9B5D0A9744834952B541A5DA06" ma:contentTypeVersion="17" ma:contentTypeDescription="Create a new document." ma:contentTypeScope="" ma:versionID="144458066b283fbe4a7801c00c6d72c6">
  <xsd:schema xmlns:xsd="http://www.w3.org/2001/XMLSchema" xmlns:xs="http://www.w3.org/2001/XMLSchema" xmlns:p="http://schemas.microsoft.com/office/2006/metadata/properties" xmlns:ns3="cb59bef2-f2d4-4dcd-b256-698fa1a5aa1b" xmlns:ns4="1f5bc9bc-6b1a-4e5b-939a-0f91b997286c" targetNamespace="http://schemas.microsoft.com/office/2006/metadata/properties" ma:root="true" ma:fieldsID="ee491e100b80bda2749e25b7fc919057" ns3:_="" ns4:_="">
    <xsd:import namespace="cb59bef2-f2d4-4dcd-b256-698fa1a5aa1b"/>
    <xsd:import namespace="1f5bc9bc-6b1a-4e5b-939a-0f91b997286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LengthInSecond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earchProperties" minOccurs="0"/>
                <xsd:element ref="ns4:MediaServiceDateTake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9bef2-f2d4-4dcd-b256-698fa1a5aa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5bc9bc-6b1a-4e5b-939a-0f91b99728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96F69-F502-4E3E-9BEC-73EEC1733715}">
  <ds:schemaRefs>
    <ds:schemaRef ds:uri="http://schemas.microsoft.com/office/2006/metadata/properties"/>
    <ds:schemaRef ds:uri="http://schemas.microsoft.com/office/infopath/2007/PartnerControls"/>
    <ds:schemaRef ds:uri="1f5bc9bc-6b1a-4e5b-939a-0f91b997286c"/>
  </ds:schemaRefs>
</ds:datastoreItem>
</file>

<file path=customXml/itemProps2.xml><?xml version="1.0" encoding="utf-8"?>
<ds:datastoreItem xmlns:ds="http://schemas.openxmlformats.org/officeDocument/2006/customXml" ds:itemID="{0F4DCD02-C513-4D78-B93E-174F2FB7C7B4}">
  <ds:schemaRefs>
    <ds:schemaRef ds:uri="http://schemas.microsoft.com/sharepoint/v3/contenttype/forms"/>
  </ds:schemaRefs>
</ds:datastoreItem>
</file>

<file path=customXml/itemProps3.xml><?xml version="1.0" encoding="utf-8"?>
<ds:datastoreItem xmlns:ds="http://schemas.openxmlformats.org/officeDocument/2006/customXml" ds:itemID="{2C0C9DAD-FE95-49E8-8EBE-9D60A0FEF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9bef2-f2d4-4dcd-b256-698fa1a5aa1b"/>
    <ds:schemaRef ds:uri="1f5bc9bc-6b1a-4e5b-939a-0f91b9972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997</Words>
  <Characters>6287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Huber</dc:creator>
  <cp:keywords>, docId:E6CD05079BF5B617CB01C774273AD18B</cp:keywords>
  <dc:description/>
  <cp:lastModifiedBy>Irene Huber</cp:lastModifiedBy>
  <cp:revision>2</cp:revision>
  <dcterms:created xsi:type="dcterms:W3CDTF">2025-10-31T13:46:00Z</dcterms:created>
  <dcterms:modified xsi:type="dcterms:W3CDTF">2025-10-31T13:46:00Z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0x01010081EF1C9B5D0A9744834952B541A5DA06</vt:lpwstr>
  </property>
</Properties>
</file>